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77" w:rsidRPr="00A85580" w:rsidRDefault="00A85580" w:rsidP="00A85580">
      <w:pPr>
        <w:autoSpaceDE w:val="0"/>
        <w:autoSpaceDN w:val="0"/>
        <w:adjustRightInd w:val="0"/>
        <w:spacing w:after="0" w:line="240" w:lineRule="auto"/>
        <w:jc w:val="right"/>
        <w:rPr>
          <w:rFonts w:ascii="DINPro-Light" w:hAnsi="DINPro-Light" w:cs="TimesNewRoman,BoldItalic"/>
          <w:b/>
          <w:bCs/>
          <w:i/>
          <w:iCs/>
          <w:sz w:val="18"/>
          <w:szCs w:val="18"/>
        </w:rPr>
      </w:pPr>
      <w:bookmarkStart w:id="0" w:name="_GoBack"/>
      <w:bookmarkEnd w:id="0"/>
      <w:r>
        <w:rPr>
          <w:rFonts w:ascii="DINPro-Light" w:hAnsi="DINPro-Light" w:cs="TimesNewRoman,BoldItalic"/>
          <w:b/>
          <w:bCs/>
          <w:i/>
          <w:iCs/>
          <w:sz w:val="18"/>
          <w:szCs w:val="18"/>
        </w:rPr>
        <w:t>1. sz. melléklet</w:t>
      </w:r>
    </w:p>
    <w:p w:rsidR="00A85580" w:rsidRDefault="00A85580" w:rsidP="00A85580">
      <w:pPr>
        <w:autoSpaceDE w:val="0"/>
        <w:autoSpaceDN w:val="0"/>
        <w:adjustRightInd w:val="0"/>
        <w:spacing w:after="0" w:line="240" w:lineRule="auto"/>
        <w:rPr>
          <w:rFonts w:ascii="TimesNewRoman,BoldItalic" w:hAnsi="TimesNewRoman,BoldItalic" w:cs="TimesNewRoman,BoldItalic"/>
          <w:bCs/>
          <w:i/>
          <w:iCs/>
          <w:sz w:val="20"/>
          <w:szCs w:val="20"/>
        </w:rPr>
      </w:pPr>
    </w:p>
    <w:p w:rsidR="00324077" w:rsidRPr="00A85580" w:rsidRDefault="00A85580" w:rsidP="00A85580">
      <w:pPr>
        <w:autoSpaceDE w:val="0"/>
        <w:autoSpaceDN w:val="0"/>
        <w:adjustRightInd w:val="0"/>
        <w:spacing w:after="0" w:line="240" w:lineRule="auto"/>
        <w:rPr>
          <w:rFonts w:ascii="TimesNewRoman,BoldItalic" w:hAnsi="TimesNewRoman,BoldItalic" w:cs="TimesNewRoman,BoldItalic"/>
          <w:bCs/>
          <w:i/>
          <w:iCs/>
          <w:sz w:val="20"/>
          <w:szCs w:val="20"/>
        </w:rPr>
      </w:pPr>
      <w:r w:rsidRPr="00A85580">
        <w:rPr>
          <w:rFonts w:ascii="TimesNewRoman,BoldItalic" w:hAnsi="TimesNewRoman,BoldItalic" w:cs="TimesNewRoman,BoldItalic"/>
          <w:bCs/>
          <w:i/>
          <w:iCs/>
          <w:sz w:val="20"/>
          <w:szCs w:val="20"/>
        </w:rPr>
        <w:t>Kivonat a 2019. január 01-én hatályos Kollektív Szerződésből</w:t>
      </w:r>
      <w:r>
        <w:rPr>
          <w:rFonts w:ascii="TimesNewRoman,BoldItalic" w:hAnsi="TimesNewRoman,BoldItalic" w:cs="TimesNewRoman,BoldItalic"/>
          <w:bCs/>
          <w:i/>
          <w:iCs/>
          <w:sz w:val="20"/>
          <w:szCs w:val="20"/>
        </w:rPr>
        <w:t>.</w:t>
      </w:r>
    </w:p>
    <w:p w:rsidR="00A85580" w:rsidRPr="00A85580" w:rsidRDefault="00A85580" w:rsidP="00A85580">
      <w:pPr>
        <w:autoSpaceDE w:val="0"/>
        <w:autoSpaceDN w:val="0"/>
        <w:adjustRightInd w:val="0"/>
        <w:spacing w:after="0" w:line="240" w:lineRule="auto"/>
        <w:rPr>
          <w:rFonts w:ascii="TimesNewRoman,BoldItalic" w:hAnsi="TimesNewRoman,BoldItalic" w:cs="TimesNewRoman,BoldItalic"/>
          <w:bCs/>
          <w:i/>
          <w:iCs/>
          <w:sz w:val="20"/>
          <w:szCs w:val="20"/>
        </w:rPr>
      </w:pPr>
    </w:p>
    <w:p w:rsidR="00A85580" w:rsidRDefault="00A85580" w:rsidP="00A85580">
      <w:pPr>
        <w:autoSpaceDE w:val="0"/>
        <w:autoSpaceDN w:val="0"/>
        <w:adjustRightInd w:val="0"/>
        <w:spacing w:after="0" w:line="240" w:lineRule="auto"/>
        <w:rPr>
          <w:rFonts w:ascii="TimesNewRoman,BoldItalic" w:hAnsi="TimesNewRoman,BoldItalic" w:cs="TimesNewRoman,BoldItalic"/>
          <w:b/>
          <w:bCs/>
          <w:i/>
          <w:iCs/>
        </w:rPr>
      </w:pPr>
    </w:p>
    <w:p w:rsidR="00324077" w:rsidRDefault="00324077" w:rsidP="00324077">
      <w:pPr>
        <w:autoSpaceDE w:val="0"/>
        <w:autoSpaceDN w:val="0"/>
        <w:adjustRightInd w:val="0"/>
        <w:spacing w:after="0" w:line="240" w:lineRule="auto"/>
        <w:jc w:val="center"/>
        <w:rPr>
          <w:rFonts w:ascii="TimesNewRoman,BoldItalic" w:hAnsi="TimesNewRoman,BoldItalic" w:cs="TimesNewRoman,BoldItalic"/>
          <w:b/>
          <w:bCs/>
          <w:i/>
          <w:iCs/>
        </w:rPr>
      </w:pPr>
      <w:r>
        <w:rPr>
          <w:rFonts w:ascii="TimesNewRoman,BoldItalic" w:hAnsi="TimesNewRoman,BoldItalic" w:cs="TimesNewRoman,BoldItalic"/>
          <w:b/>
          <w:bCs/>
          <w:i/>
          <w:iCs/>
        </w:rPr>
        <w:t>„Széchényi Pihenő Kártya (Szép-kártya)</w:t>
      </w:r>
    </w:p>
    <w:p w:rsidR="00324077" w:rsidRDefault="00324077" w:rsidP="00324077">
      <w:pPr>
        <w:autoSpaceDE w:val="0"/>
        <w:autoSpaceDN w:val="0"/>
        <w:adjustRightInd w:val="0"/>
        <w:spacing w:after="0" w:line="240" w:lineRule="auto"/>
        <w:jc w:val="center"/>
        <w:rPr>
          <w:rFonts w:ascii="TimesNewRoman,BoldItalic" w:hAnsi="TimesNewRoman,BoldItalic" w:cs="TimesNewRoman,BoldItalic"/>
          <w:b/>
          <w:bCs/>
          <w:i/>
          <w:iCs/>
        </w:rPr>
      </w:pPr>
      <w:r>
        <w:rPr>
          <w:rFonts w:ascii="TimesNewRoman,BoldItalic" w:hAnsi="TimesNewRoman,BoldItalic" w:cs="TimesNewRoman,BoldItalic"/>
          <w:b/>
          <w:bCs/>
          <w:i/>
          <w:iCs/>
        </w:rPr>
        <w:t>95/A. §</w:t>
      </w:r>
    </w:p>
    <w:p w:rsidR="00324077" w:rsidRDefault="00324077" w:rsidP="00324077">
      <w:pPr>
        <w:autoSpaceDE w:val="0"/>
        <w:autoSpaceDN w:val="0"/>
        <w:adjustRightInd w:val="0"/>
        <w:spacing w:after="0" w:line="240" w:lineRule="auto"/>
        <w:jc w:val="center"/>
        <w:rPr>
          <w:rFonts w:ascii="TimesNewRoman,BoldItalic" w:hAnsi="TimesNewRoman,BoldItalic" w:cs="TimesNewRoman,BoldItalic"/>
          <w:b/>
          <w:bCs/>
          <w:i/>
          <w:iCs/>
        </w:rPr>
      </w:pPr>
    </w:p>
    <w:p w:rsidR="0060396B" w:rsidRDefault="0060396B" w:rsidP="00324077">
      <w:pPr>
        <w:autoSpaceDE w:val="0"/>
        <w:autoSpaceDN w:val="0"/>
        <w:adjustRightInd w:val="0"/>
        <w:spacing w:after="0" w:line="240" w:lineRule="auto"/>
        <w:jc w:val="center"/>
        <w:rPr>
          <w:rFonts w:ascii="TimesNewRoman,BoldItalic" w:hAnsi="TimesNewRoman,BoldItalic" w:cs="TimesNewRoman,BoldItalic"/>
          <w:b/>
          <w:bCs/>
          <w:i/>
          <w:iCs/>
        </w:rPr>
      </w:pP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(1) Az Egyetem a főállású, közalkalmazotti jogviszonyban foglalkoztatott dolgozói részére 3.700.- Ft/hó összegű Szép-kártya juttatást biztosít.</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(2) A közalkalmazottat a jogviszonyának fennállása alatt - az időarányosság elve alapján - illeti meg a juttatás.</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324077" w:rsidRPr="008F59A1" w:rsidRDefault="004D3ACB"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(3) A jogosultság mértéke:</w:t>
      </w:r>
    </w:p>
    <w:p w:rsidR="00324077" w:rsidRPr="008F59A1" w:rsidRDefault="00324077" w:rsidP="00324077">
      <w:pPr>
        <w:autoSpaceDE w:val="0"/>
        <w:autoSpaceDN w:val="0"/>
        <w:adjustRightInd w:val="0"/>
        <w:spacing w:after="0" w:line="240" w:lineRule="auto"/>
        <w:ind w:left="284"/>
        <w:jc w:val="both"/>
        <w:rPr>
          <w:rFonts w:ascii="TimesNewRoman,Italic" w:hAnsi="TimesNewRoman,Italic" w:cs="TimesNewRoman,Italic"/>
          <w:i/>
          <w:iCs/>
          <w:sz w:val="20"/>
          <w:szCs w:val="20"/>
        </w:rPr>
      </w:pPr>
      <w:proofErr w:type="gramStart"/>
      <w:r w:rsidRPr="008F59A1">
        <w:rPr>
          <w:rFonts w:ascii="TimesNewRoman,Italic" w:hAnsi="TimesNewRoman,Italic" w:cs="TimesNewRoman,Italic"/>
          <w:i/>
          <w:iCs/>
          <w:sz w:val="20"/>
          <w:szCs w:val="20"/>
        </w:rPr>
        <w:t>a</w:t>
      </w:r>
      <w:proofErr w:type="gramEnd"/>
      <w:r w:rsidRPr="008F59A1">
        <w:rPr>
          <w:rFonts w:ascii="TimesNewRoman,Italic" w:hAnsi="TimesNewRoman,Italic" w:cs="TimesNewRoman,Italic"/>
          <w:i/>
          <w:iCs/>
          <w:sz w:val="20"/>
          <w:szCs w:val="20"/>
        </w:rPr>
        <w:t>) a legalább napi 6 órában (heti 30 órában) foglalkoztatott közalkalmazottak esetében havi 3.700,-Ft/hó, azaz Háromezer-hétszáz forint/hó összegű,</w:t>
      </w:r>
    </w:p>
    <w:p w:rsidR="00324077" w:rsidRPr="008F59A1" w:rsidRDefault="00324077" w:rsidP="00324077">
      <w:pPr>
        <w:autoSpaceDE w:val="0"/>
        <w:autoSpaceDN w:val="0"/>
        <w:adjustRightInd w:val="0"/>
        <w:spacing w:after="0" w:line="240" w:lineRule="auto"/>
        <w:ind w:left="284"/>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b) az a) pontban meghatározott napi óraszám alatt foglalkoztatott közalkalmazottak 1.850, Ft/hó</w:t>
      </w:r>
      <w:proofErr w:type="gramStart"/>
      <w:r w:rsidRPr="008F59A1">
        <w:rPr>
          <w:rFonts w:ascii="TimesNewRoman,Italic" w:hAnsi="TimesNewRoman,Italic" w:cs="TimesNewRoman,Italic"/>
          <w:i/>
          <w:iCs/>
          <w:sz w:val="20"/>
          <w:szCs w:val="20"/>
        </w:rPr>
        <w:t>,azaz</w:t>
      </w:r>
      <w:proofErr w:type="gramEnd"/>
      <w:r w:rsidRPr="008F59A1">
        <w:rPr>
          <w:rFonts w:ascii="TimesNewRoman,Italic" w:hAnsi="TimesNewRoman,Italic" w:cs="TimesNewRoman,Italic"/>
          <w:i/>
          <w:iCs/>
          <w:sz w:val="20"/>
          <w:szCs w:val="20"/>
        </w:rPr>
        <w:t xml:space="preserve"> Ezernyolcszázötven forint/hó összegű juttatásra jogosultak.</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(4) Nem illeti meg a közalkalmazottat a juttatás:</w:t>
      </w:r>
    </w:p>
    <w:p w:rsidR="00324077" w:rsidRPr="008F59A1" w:rsidRDefault="00324077" w:rsidP="00324077">
      <w:pPr>
        <w:autoSpaceDE w:val="0"/>
        <w:autoSpaceDN w:val="0"/>
        <w:adjustRightInd w:val="0"/>
        <w:spacing w:after="0" w:line="240" w:lineRule="auto"/>
        <w:ind w:firstLine="284"/>
        <w:jc w:val="both"/>
        <w:rPr>
          <w:rFonts w:ascii="TimesNewRoman,Italic" w:hAnsi="TimesNewRoman,Italic" w:cs="TimesNewRoman,Italic"/>
          <w:i/>
          <w:iCs/>
          <w:sz w:val="20"/>
          <w:szCs w:val="20"/>
        </w:rPr>
      </w:pPr>
      <w:proofErr w:type="gramStart"/>
      <w:r w:rsidRPr="008F59A1">
        <w:rPr>
          <w:rFonts w:ascii="TimesNewRoman,Italic" w:hAnsi="TimesNewRoman,Italic" w:cs="TimesNewRoman,Italic"/>
          <w:i/>
          <w:iCs/>
          <w:sz w:val="20"/>
          <w:szCs w:val="20"/>
        </w:rPr>
        <w:t>a</w:t>
      </w:r>
      <w:proofErr w:type="gramEnd"/>
      <w:r w:rsidRPr="008F59A1">
        <w:rPr>
          <w:rFonts w:ascii="TimesNewRoman,Italic" w:hAnsi="TimesNewRoman,Italic" w:cs="TimesNewRoman,Italic"/>
          <w:i/>
          <w:iCs/>
          <w:sz w:val="20"/>
          <w:szCs w:val="20"/>
        </w:rPr>
        <w:t>) szülési szabadság ideje alatt,</w:t>
      </w:r>
    </w:p>
    <w:p w:rsidR="00324077" w:rsidRPr="008F59A1" w:rsidRDefault="00324077" w:rsidP="00324077">
      <w:pPr>
        <w:autoSpaceDE w:val="0"/>
        <w:autoSpaceDN w:val="0"/>
        <w:adjustRightInd w:val="0"/>
        <w:spacing w:after="0" w:line="240" w:lineRule="auto"/>
        <w:ind w:firstLine="284"/>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b) bármilyen jogcímen járó – 30 napot meghaladó - fizetés nélküli szabadság ideje alatt,</w:t>
      </w:r>
    </w:p>
    <w:p w:rsidR="00324077" w:rsidRPr="008F59A1" w:rsidRDefault="00324077" w:rsidP="00324077">
      <w:pPr>
        <w:autoSpaceDE w:val="0"/>
        <w:autoSpaceDN w:val="0"/>
        <w:adjustRightInd w:val="0"/>
        <w:spacing w:after="0" w:line="240" w:lineRule="auto"/>
        <w:ind w:firstLine="284"/>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c) felmentési idő alatt a munkavégzés alóli mentesítés időtartamára,</w:t>
      </w:r>
    </w:p>
    <w:p w:rsidR="00324077" w:rsidRPr="008F59A1" w:rsidRDefault="00324077" w:rsidP="00324077">
      <w:pPr>
        <w:autoSpaceDE w:val="0"/>
        <w:autoSpaceDN w:val="0"/>
        <w:adjustRightInd w:val="0"/>
        <w:spacing w:after="0" w:line="240" w:lineRule="auto"/>
        <w:ind w:firstLine="284"/>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d) a napi 4 óránál (heti 20 óránál) kevesebb munkaidőben történő foglalkoztatás esetén,</w:t>
      </w:r>
    </w:p>
    <w:p w:rsidR="00324077" w:rsidRPr="008F59A1" w:rsidRDefault="00324077" w:rsidP="00324077">
      <w:pPr>
        <w:autoSpaceDE w:val="0"/>
        <w:autoSpaceDN w:val="0"/>
        <w:adjustRightInd w:val="0"/>
        <w:spacing w:after="0" w:line="240" w:lineRule="auto"/>
        <w:ind w:left="-142" w:firstLine="426"/>
        <w:jc w:val="both"/>
        <w:rPr>
          <w:rFonts w:ascii="TimesNewRoman,Italic" w:hAnsi="TimesNewRoman,Italic" w:cs="TimesNewRoman,Italic"/>
          <w:i/>
          <w:iCs/>
          <w:sz w:val="20"/>
          <w:szCs w:val="20"/>
        </w:rPr>
      </w:pPr>
      <w:proofErr w:type="gramStart"/>
      <w:r w:rsidRPr="008F59A1">
        <w:rPr>
          <w:rFonts w:ascii="TimesNewRoman,Italic" w:hAnsi="TimesNewRoman,Italic" w:cs="TimesNewRoman,Italic"/>
          <w:i/>
          <w:iCs/>
          <w:sz w:val="20"/>
          <w:szCs w:val="20"/>
        </w:rPr>
        <w:t>e</w:t>
      </w:r>
      <w:proofErr w:type="gramEnd"/>
      <w:r w:rsidRPr="008F59A1">
        <w:rPr>
          <w:rFonts w:ascii="TimesNewRoman,Italic" w:hAnsi="TimesNewRoman,Italic" w:cs="TimesNewRoman,Italic"/>
          <w:i/>
          <w:iCs/>
          <w:sz w:val="20"/>
          <w:szCs w:val="20"/>
        </w:rPr>
        <w:t>) egyéb jogcímen járó, tartós – 30 napot meghaladó - távollét ideje alatt.</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(5) A hónap első napját követő jogviszony létesítés esetén a közalkalmazottat a jogviszony kezdő napját követő hónap első napjától illeti meg a juttatás. A hónap első napját követő közalkalmazotti jogviszony megszűnés vagy megszüntetés esetén a közalkalmazottat a tárgyhóra megilleti a juttatás.</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(6) Egységes elvek alapján valamennyi foglalkoztatottat érintő munkáltatói döntés esetén, illetve az adott szervezeti egység munkáltatói jogkör gyakorlójának egyedi, mérlegelési jogkörben hozott döntése alapján, az (1) és (3) bekezdésben meghatározott összegen felül a mindenkor hatályos személyi jövedelemadóról szóló 1995. évi CXVII. törvényben meghatározott – költségvetési szervekre vonatkozó – éves rekreációs keretösszeg erejéig további Szép-kártya juttatás adható.</w:t>
      </w:r>
    </w:p>
    <w:p w:rsidR="00324077"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p>
    <w:p w:rsidR="005C205A" w:rsidRPr="008F59A1" w:rsidRDefault="00324077" w:rsidP="00324077">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(7) A nem költségvetési forrásból foglalkoztatott közalkalmazott juttatásának a fedezetét az adott szervezeti egység saját forrásból biztosíthatja.”</w:t>
      </w:r>
    </w:p>
    <w:p w:rsidR="00A85580" w:rsidRDefault="00A85580" w:rsidP="00324077">
      <w:pPr>
        <w:autoSpaceDE w:val="0"/>
        <w:autoSpaceDN w:val="0"/>
        <w:adjustRightInd w:val="0"/>
        <w:spacing w:after="0" w:line="240" w:lineRule="auto"/>
        <w:jc w:val="both"/>
        <w:rPr>
          <w:rFonts w:ascii="TimesNewRoman,Italic" w:hAnsi="TimesNewRoman,Italic" w:cs="TimesNewRoman,Italic"/>
          <w:i/>
          <w:iCs/>
        </w:rPr>
      </w:pPr>
    </w:p>
    <w:p w:rsidR="008F59A1" w:rsidRPr="008F59A1" w:rsidRDefault="008F59A1" w:rsidP="008F59A1">
      <w:pPr>
        <w:autoSpaceDE w:val="0"/>
        <w:autoSpaceDN w:val="0"/>
        <w:adjustRightInd w:val="0"/>
        <w:spacing w:after="0" w:line="240" w:lineRule="auto"/>
        <w:jc w:val="both"/>
        <w:rPr>
          <w:rFonts w:ascii="TimesNewRoman,Italic" w:hAnsi="TimesNewRoman,Italic" w:cs="TimesNewRoman,Italic"/>
          <w:i/>
          <w:iCs/>
        </w:rPr>
      </w:pPr>
    </w:p>
    <w:p w:rsidR="00A85580" w:rsidRPr="008F59A1" w:rsidRDefault="008F59A1" w:rsidP="008F59A1">
      <w:pPr>
        <w:autoSpaceDE w:val="0"/>
        <w:autoSpaceDN w:val="0"/>
        <w:adjustRightInd w:val="0"/>
        <w:spacing w:after="0" w:line="240" w:lineRule="auto"/>
        <w:jc w:val="both"/>
        <w:rPr>
          <w:rFonts w:ascii="TimesNewRoman,Bold" w:hAnsi="TimesNewRoman,Bold" w:cs="TimesNewRoman,Bold"/>
          <w:b/>
          <w:bCs/>
          <w:i/>
        </w:rPr>
      </w:pPr>
      <w:r w:rsidRPr="008F59A1">
        <w:rPr>
          <w:rFonts w:ascii="TimesNewRoman,Italic" w:hAnsi="TimesNewRoman,Italic" w:cs="TimesNewRoman,Italic"/>
          <w:b/>
          <w:i/>
          <w:iCs/>
        </w:rPr>
        <w:t>Az önkéntes pénztárakra vonatkozóan a</w:t>
      </w:r>
      <w:r w:rsidR="00A85580" w:rsidRPr="008F59A1">
        <w:rPr>
          <w:rFonts w:ascii="TimesNewRoman,Bold" w:hAnsi="TimesNewRoman,Bold" w:cs="TimesNewRoman,Bold"/>
          <w:b/>
          <w:bCs/>
          <w:i/>
        </w:rPr>
        <w:t xml:space="preserve"> Szerződés 120. §</w:t>
      </w:r>
      <w:proofErr w:type="spellStart"/>
      <w:r w:rsidR="00A85580" w:rsidRPr="008F59A1">
        <w:rPr>
          <w:rFonts w:ascii="TimesNewRoman,Bold" w:hAnsi="TimesNewRoman,Bold" w:cs="TimesNewRoman,Bold"/>
          <w:b/>
          <w:bCs/>
          <w:i/>
        </w:rPr>
        <w:t>-a</w:t>
      </w:r>
      <w:proofErr w:type="spellEnd"/>
      <w:r w:rsidR="00A85580" w:rsidRPr="008F59A1">
        <w:rPr>
          <w:rFonts w:ascii="TimesNewRoman,Bold" w:hAnsi="TimesNewRoman,Bold" w:cs="TimesNewRoman,Bold"/>
          <w:b/>
          <w:bCs/>
          <w:i/>
        </w:rPr>
        <w:t xml:space="preserve"> kiegészül a következő új (4) és (5) bekezdésekkel:</w:t>
      </w:r>
    </w:p>
    <w:p w:rsidR="008F59A1" w:rsidRPr="008F59A1" w:rsidRDefault="008F59A1" w:rsidP="008F59A1">
      <w:pPr>
        <w:autoSpaceDE w:val="0"/>
        <w:autoSpaceDN w:val="0"/>
        <w:adjustRightInd w:val="0"/>
        <w:spacing w:after="0" w:line="240" w:lineRule="auto"/>
        <w:jc w:val="both"/>
        <w:rPr>
          <w:rFonts w:ascii="TimesNewRoman,Italic" w:hAnsi="TimesNewRoman,Italic" w:cs="TimesNewRoman,Italic"/>
          <w:i/>
          <w:iCs/>
        </w:rPr>
      </w:pPr>
    </w:p>
    <w:p w:rsidR="00A85580" w:rsidRPr="008F59A1" w:rsidRDefault="008F59A1" w:rsidP="008F59A1">
      <w:pPr>
        <w:autoSpaceDE w:val="0"/>
        <w:autoSpaceDN w:val="0"/>
        <w:adjustRightInd w:val="0"/>
        <w:spacing w:after="0" w:line="240" w:lineRule="auto"/>
        <w:jc w:val="both"/>
        <w:rPr>
          <w:rFonts w:ascii="TimesNewRoman,Italic" w:hAnsi="TimesNewRoman,Italic" w:cs="TimesNewRoman,Italic"/>
          <w:i/>
          <w:iCs/>
          <w:sz w:val="20"/>
          <w:szCs w:val="20"/>
        </w:rPr>
      </w:pPr>
      <w:r>
        <w:rPr>
          <w:rFonts w:ascii="TimesNewRoman,Italic" w:hAnsi="TimesNewRoman,Italic" w:cs="TimesNewRoman,Italic"/>
          <w:i/>
          <w:iCs/>
          <w:sz w:val="20"/>
          <w:szCs w:val="20"/>
        </w:rPr>
        <w:t>(</w:t>
      </w:r>
      <w:r w:rsidR="00A85580" w:rsidRPr="008F59A1">
        <w:rPr>
          <w:rFonts w:ascii="TimesNewRoman,Italic" w:hAnsi="TimesNewRoman,Italic" w:cs="TimesNewRoman,Italic"/>
          <w:i/>
          <w:iCs/>
          <w:sz w:val="20"/>
          <w:szCs w:val="20"/>
        </w:rPr>
        <w:t>4) Az Egyetem az önkéntes pénztárakkal kötött szerződések felmondás</w:t>
      </w:r>
      <w:r w:rsidRPr="008F59A1">
        <w:rPr>
          <w:rFonts w:ascii="TimesNewRoman,Italic" w:hAnsi="TimesNewRoman,Italic" w:cs="TimesNewRoman,Italic"/>
          <w:i/>
          <w:iCs/>
          <w:sz w:val="20"/>
          <w:szCs w:val="20"/>
        </w:rPr>
        <w:t xml:space="preserve">áig, de legfeljebb 2019. június </w:t>
      </w:r>
      <w:r w:rsidR="00A85580" w:rsidRPr="008F59A1">
        <w:rPr>
          <w:rFonts w:ascii="TimesNewRoman,Italic" w:hAnsi="TimesNewRoman,Italic" w:cs="TimesNewRoman,Italic"/>
          <w:i/>
          <w:iCs/>
          <w:sz w:val="20"/>
          <w:szCs w:val="20"/>
        </w:rPr>
        <w:t>30. napjáig továbbra is bruttó 1.000.- Ft/hó/tag összegű</w:t>
      </w:r>
      <w:r w:rsidRPr="008F59A1">
        <w:rPr>
          <w:rFonts w:ascii="TimesNewRoman,Italic" w:hAnsi="TimesNewRoman,Italic" w:cs="TimesNewRoman,Italic"/>
          <w:i/>
          <w:iCs/>
          <w:sz w:val="20"/>
          <w:szCs w:val="20"/>
        </w:rPr>
        <w:t xml:space="preserve"> önkéntes </w:t>
      </w:r>
      <w:r w:rsidR="00A85580" w:rsidRPr="008F59A1">
        <w:rPr>
          <w:rFonts w:ascii="TimesNewRoman,Italic" w:hAnsi="TimesNewRoman,Italic" w:cs="TimesNewRoman,Italic"/>
          <w:i/>
          <w:iCs/>
          <w:sz w:val="20"/>
          <w:szCs w:val="20"/>
        </w:rPr>
        <w:t>egés</w:t>
      </w:r>
      <w:r w:rsidRPr="008F59A1">
        <w:rPr>
          <w:rFonts w:ascii="TimesNewRoman,Italic" w:hAnsi="TimesNewRoman,Italic" w:cs="TimesNewRoman,Italic"/>
          <w:i/>
          <w:iCs/>
          <w:sz w:val="20"/>
          <w:szCs w:val="20"/>
        </w:rPr>
        <w:t xml:space="preserve">zségpénztári és nyugdíjpénztári </w:t>
      </w:r>
      <w:r w:rsidR="00A85580" w:rsidRPr="008F59A1">
        <w:rPr>
          <w:rFonts w:ascii="TimesNewRoman,Italic" w:hAnsi="TimesNewRoman,Italic" w:cs="TimesNewRoman,Italic"/>
          <w:i/>
          <w:iCs/>
          <w:sz w:val="20"/>
          <w:szCs w:val="20"/>
        </w:rPr>
        <w:t>munkáltatói tagdíj hozzájárulást biztosít a 2018.</w:t>
      </w:r>
      <w:r w:rsidRPr="008F59A1">
        <w:rPr>
          <w:rFonts w:ascii="TimesNewRoman,Italic" w:hAnsi="TimesNewRoman,Italic" w:cs="TimesNewRoman,Italic"/>
          <w:i/>
          <w:iCs/>
          <w:sz w:val="20"/>
          <w:szCs w:val="20"/>
        </w:rPr>
        <w:t xml:space="preserve"> </w:t>
      </w:r>
      <w:r w:rsidR="00A85580" w:rsidRPr="008F59A1">
        <w:rPr>
          <w:rFonts w:ascii="TimesNewRoman,Italic" w:hAnsi="TimesNewRoman,Italic" w:cs="TimesNewRoman,Italic"/>
          <w:i/>
          <w:iCs/>
          <w:sz w:val="20"/>
          <w:szCs w:val="20"/>
        </w:rPr>
        <w:t xml:space="preserve">november 30. </w:t>
      </w:r>
      <w:r w:rsidRPr="008F59A1">
        <w:rPr>
          <w:rFonts w:ascii="TimesNewRoman,Italic" w:hAnsi="TimesNewRoman,Italic" w:cs="TimesNewRoman,Italic"/>
          <w:i/>
          <w:iCs/>
          <w:sz w:val="20"/>
          <w:szCs w:val="20"/>
        </w:rPr>
        <w:t xml:space="preserve">napján a Debreceni Egyetemmel 6 </w:t>
      </w:r>
      <w:r w:rsidR="00A85580" w:rsidRPr="008F59A1">
        <w:rPr>
          <w:rFonts w:ascii="TimesNewRoman,Italic" w:hAnsi="TimesNewRoman,Italic" w:cs="TimesNewRoman,Italic"/>
          <w:i/>
          <w:iCs/>
          <w:sz w:val="20"/>
          <w:szCs w:val="20"/>
        </w:rPr>
        <w:t>hónapja közalkalmazotti jogviszonyban álló pénztári tagok számára (ezen idő</w:t>
      </w:r>
      <w:r w:rsidRPr="008F59A1">
        <w:rPr>
          <w:rFonts w:ascii="TimesNewRoman,Italic" w:hAnsi="TimesNewRoman,Italic" w:cs="TimesNewRoman,Italic"/>
          <w:i/>
          <w:iCs/>
          <w:sz w:val="20"/>
          <w:szCs w:val="20"/>
        </w:rPr>
        <w:t xml:space="preserve">pont után tagsági </w:t>
      </w:r>
      <w:r w:rsidR="00A85580" w:rsidRPr="008F59A1">
        <w:rPr>
          <w:rFonts w:ascii="TimesNewRoman,Italic" w:hAnsi="TimesNewRoman,Italic" w:cs="TimesNewRoman,Italic"/>
          <w:i/>
          <w:iCs/>
          <w:sz w:val="20"/>
          <w:szCs w:val="20"/>
        </w:rPr>
        <w:t xml:space="preserve">jogviszonyt létesítőre </w:t>
      </w:r>
      <w:proofErr w:type="gramStart"/>
      <w:r w:rsidR="00A85580" w:rsidRPr="008F59A1">
        <w:rPr>
          <w:rFonts w:ascii="TimesNewRoman,Italic" w:hAnsi="TimesNewRoman,Italic" w:cs="TimesNewRoman,Italic"/>
          <w:i/>
          <w:iCs/>
          <w:sz w:val="20"/>
          <w:szCs w:val="20"/>
        </w:rPr>
        <w:t>ezen</w:t>
      </w:r>
      <w:proofErr w:type="gramEnd"/>
      <w:r w:rsidR="00A85580" w:rsidRPr="008F59A1">
        <w:rPr>
          <w:rFonts w:ascii="TimesNewRoman,Italic" w:hAnsi="TimesNewRoman,Italic" w:cs="TimesNewRoman,Italic"/>
          <w:i/>
          <w:iCs/>
          <w:sz w:val="20"/>
          <w:szCs w:val="20"/>
        </w:rPr>
        <w:t xml:space="preserve"> juttatás nem vonatkozik).</w:t>
      </w:r>
    </w:p>
    <w:p w:rsidR="008F59A1" w:rsidRPr="008F59A1" w:rsidRDefault="008F59A1" w:rsidP="008F59A1">
      <w:pPr>
        <w:autoSpaceDE w:val="0"/>
        <w:autoSpaceDN w:val="0"/>
        <w:adjustRightInd w:val="0"/>
        <w:spacing w:after="0" w:line="240" w:lineRule="auto"/>
        <w:jc w:val="both"/>
        <w:rPr>
          <w:rFonts w:ascii="TimesNewRoman,Italic" w:hAnsi="TimesNewRoman,Italic" w:cs="TimesNewRoman,Italic"/>
          <w:i/>
          <w:iCs/>
          <w:sz w:val="20"/>
          <w:szCs w:val="20"/>
        </w:rPr>
      </w:pPr>
    </w:p>
    <w:p w:rsidR="00A85580" w:rsidRPr="008F59A1" w:rsidRDefault="00A85580" w:rsidP="008F59A1">
      <w:pPr>
        <w:autoSpaceDE w:val="0"/>
        <w:autoSpaceDN w:val="0"/>
        <w:adjustRightInd w:val="0"/>
        <w:spacing w:after="0" w:line="240" w:lineRule="auto"/>
        <w:jc w:val="both"/>
        <w:rPr>
          <w:rFonts w:ascii="TimesNewRoman,Italic" w:hAnsi="TimesNewRoman,Italic" w:cs="TimesNewRoman,Italic"/>
          <w:i/>
          <w:iCs/>
          <w:sz w:val="20"/>
          <w:szCs w:val="20"/>
        </w:rPr>
      </w:pPr>
      <w:r w:rsidRPr="008F59A1">
        <w:rPr>
          <w:rFonts w:ascii="TimesNewRoman,Italic" w:hAnsi="TimesNewRoman,Italic" w:cs="TimesNewRoman,Italic"/>
          <w:i/>
          <w:iCs/>
          <w:sz w:val="20"/>
          <w:szCs w:val="20"/>
        </w:rPr>
        <w:t>(5) Az önkéntes pénztárakkal kötött szerződések megszűntetését követő kezdő</w:t>
      </w:r>
      <w:r w:rsidR="008F59A1" w:rsidRPr="008F59A1">
        <w:rPr>
          <w:rFonts w:ascii="TimesNewRoman,Italic" w:hAnsi="TimesNewRoman,Italic" w:cs="TimesNewRoman,Italic"/>
          <w:i/>
          <w:iCs/>
          <w:sz w:val="20"/>
          <w:szCs w:val="20"/>
        </w:rPr>
        <w:t xml:space="preserve"> napi hatállyal a </w:t>
      </w:r>
      <w:r w:rsidRPr="008F59A1">
        <w:rPr>
          <w:rFonts w:ascii="TimesNewRoman,Italic" w:hAnsi="TimesNewRoman,Italic" w:cs="TimesNewRoman,Italic"/>
          <w:i/>
          <w:iCs/>
          <w:sz w:val="20"/>
          <w:szCs w:val="20"/>
        </w:rPr>
        <w:t xml:space="preserve">fentiekben részletezett feltételekkel rendelkező pénztári </w:t>
      </w:r>
      <w:r w:rsidR="008F59A1" w:rsidRPr="008F59A1">
        <w:rPr>
          <w:rFonts w:ascii="TimesNewRoman,Italic" w:hAnsi="TimesNewRoman,Italic" w:cs="TimesNewRoman,Italic"/>
          <w:i/>
          <w:iCs/>
          <w:sz w:val="20"/>
          <w:szCs w:val="20"/>
        </w:rPr>
        <w:t xml:space="preserve">tagok számára az Egyetem bruttó 1.000.- Ft/hó </w:t>
      </w:r>
      <w:r w:rsidRPr="008F59A1">
        <w:rPr>
          <w:rFonts w:ascii="TimesNewRoman,Italic" w:hAnsi="TimesNewRoman,Italic" w:cs="TimesNewRoman,Italic"/>
          <w:i/>
          <w:iCs/>
          <w:sz w:val="20"/>
          <w:szCs w:val="20"/>
        </w:rPr>
        <w:t>összeget munkáltatói döntésen alapuló illetmény</w:t>
      </w:r>
      <w:r w:rsidR="008F59A1" w:rsidRPr="008F59A1">
        <w:rPr>
          <w:rFonts w:ascii="TimesNewRoman,Italic" w:hAnsi="TimesNewRoman,Italic" w:cs="TimesNewRoman,Italic"/>
          <w:i/>
          <w:iCs/>
          <w:sz w:val="20"/>
          <w:szCs w:val="20"/>
        </w:rPr>
        <w:t xml:space="preserve">részként biztosít a kivezetésre </w:t>
      </w:r>
      <w:r w:rsidRPr="008F59A1">
        <w:rPr>
          <w:rFonts w:ascii="TimesNewRoman,Italic" w:hAnsi="TimesNewRoman,Italic" w:cs="TimesNewRoman,Italic"/>
          <w:i/>
          <w:iCs/>
          <w:sz w:val="20"/>
          <w:szCs w:val="20"/>
        </w:rPr>
        <w:t>kerülő</w:t>
      </w:r>
      <w:r w:rsidR="008F59A1" w:rsidRPr="008F59A1">
        <w:rPr>
          <w:rFonts w:ascii="TimesNewRoman,Italic" w:hAnsi="TimesNewRoman,Italic" w:cs="TimesNewRoman,Italic"/>
          <w:i/>
          <w:iCs/>
          <w:sz w:val="20"/>
          <w:szCs w:val="20"/>
        </w:rPr>
        <w:t xml:space="preserve"> önkéntes </w:t>
      </w:r>
      <w:r w:rsidRPr="008F59A1">
        <w:rPr>
          <w:rFonts w:ascii="TimesNewRoman,Italic" w:hAnsi="TimesNewRoman,Italic" w:cs="TimesNewRoman,Italic"/>
          <w:i/>
          <w:iCs/>
          <w:sz w:val="20"/>
          <w:szCs w:val="20"/>
        </w:rPr>
        <w:t xml:space="preserve">egészségpénztári és nyugdíjpénztári </w:t>
      </w:r>
      <w:r w:rsidR="008F59A1" w:rsidRPr="008F59A1">
        <w:rPr>
          <w:rFonts w:ascii="TimesNewRoman,Italic" w:hAnsi="TimesNewRoman,Italic" w:cs="TimesNewRoman,Italic"/>
          <w:i/>
          <w:iCs/>
          <w:sz w:val="20"/>
          <w:szCs w:val="20"/>
        </w:rPr>
        <w:t xml:space="preserve">munkáltatói tagdíj hozzájárulás ellentételezéseként. Ez a </w:t>
      </w:r>
      <w:r w:rsidRPr="008F59A1">
        <w:rPr>
          <w:rFonts w:ascii="TimesNewRoman,Italic" w:hAnsi="TimesNewRoman,Italic" w:cs="TimesNewRoman,Italic"/>
          <w:i/>
          <w:iCs/>
          <w:sz w:val="20"/>
          <w:szCs w:val="20"/>
        </w:rPr>
        <w:t xml:space="preserve">munkáltatói döntés nem minősül </w:t>
      </w:r>
      <w:r w:rsidR="008F59A1" w:rsidRPr="008F59A1">
        <w:rPr>
          <w:rFonts w:ascii="TimesNewRoman,Italic" w:hAnsi="TimesNewRoman,Italic" w:cs="TimesNewRoman,Italic"/>
          <w:i/>
          <w:iCs/>
          <w:sz w:val="20"/>
          <w:szCs w:val="20"/>
        </w:rPr>
        <w:t xml:space="preserve">a közalkalmazottak jogállásáról </w:t>
      </w:r>
      <w:r w:rsidRPr="008F59A1">
        <w:rPr>
          <w:rFonts w:ascii="TimesNewRoman,Italic" w:hAnsi="TimesNewRoman,Italic" w:cs="TimesNewRoman,Italic"/>
          <w:i/>
          <w:iCs/>
          <w:sz w:val="20"/>
          <w:szCs w:val="20"/>
        </w:rPr>
        <w:t>szóló</w:t>
      </w:r>
      <w:r w:rsidR="008F59A1" w:rsidRPr="008F59A1">
        <w:rPr>
          <w:rFonts w:ascii="TimesNewRoman,Italic" w:hAnsi="TimesNewRoman,Italic" w:cs="TimesNewRoman,Italic"/>
          <w:i/>
          <w:iCs/>
          <w:sz w:val="20"/>
          <w:szCs w:val="20"/>
        </w:rPr>
        <w:t xml:space="preserve"> 1992. évi XXXIII. törvény 66.§ (</w:t>
      </w:r>
      <w:r w:rsidRPr="008F59A1">
        <w:rPr>
          <w:rFonts w:ascii="TimesNewRoman,Italic" w:hAnsi="TimesNewRoman,Italic" w:cs="TimesNewRoman,Italic"/>
          <w:i/>
          <w:iCs/>
          <w:sz w:val="20"/>
          <w:szCs w:val="20"/>
        </w:rPr>
        <w:t>1)-(3) bekezdés szerinti garantáltnál magasabb összegű illetmény megállapításának, így 4</w:t>
      </w:r>
      <w:r w:rsidR="008F59A1" w:rsidRPr="008F59A1">
        <w:rPr>
          <w:rFonts w:ascii="TimesNewRoman,Italic" w:hAnsi="TimesNewRoman,Italic" w:cs="TimesNewRoman,Italic"/>
          <w:i/>
          <w:iCs/>
          <w:sz w:val="20"/>
          <w:szCs w:val="20"/>
        </w:rPr>
        <w:t xml:space="preserve">0.§ (1) </w:t>
      </w:r>
      <w:r w:rsidRPr="008F59A1">
        <w:rPr>
          <w:rFonts w:ascii="TimesNewRoman,Italic" w:hAnsi="TimesNewRoman,Italic" w:cs="TimesNewRoman,Italic"/>
          <w:i/>
          <w:iCs/>
          <w:sz w:val="20"/>
          <w:szCs w:val="20"/>
        </w:rPr>
        <w:t>bekezdés c) pontjában foglalt minősítésre sem kerül sor.”</w:t>
      </w:r>
    </w:p>
    <w:p w:rsidR="008F59A1" w:rsidRDefault="008F59A1">
      <w:pPr>
        <w:autoSpaceDE w:val="0"/>
        <w:autoSpaceDN w:val="0"/>
        <w:adjustRightInd w:val="0"/>
        <w:spacing w:after="0" w:line="240" w:lineRule="auto"/>
        <w:jc w:val="both"/>
        <w:rPr>
          <w:rFonts w:ascii="TimesNewRoman,Italic" w:hAnsi="TimesNewRoman,Italic" w:cs="TimesNewRoman,Italic"/>
          <w:i/>
          <w:iCs/>
        </w:rPr>
      </w:pPr>
    </w:p>
    <w:sectPr w:rsidR="008F59A1" w:rsidSect="008F59A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77"/>
    <w:rsid w:val="00191577"/>
    <w:rsid w:val="00324077"/>
    <w:rsid w:val="004256C4"/>
    <w:rsid w:val="004D3ACB"/>
    <w:rsid w:val="005C205A"/>
    <w:rsid w:val="0060396B"/>
    <w:rsid w:val="007F43CF"/>
    <w:rsid w:val="008F59A1"/>
    <w:rsid w:val="00A85580"/>
    <w:rsid w:val="00D56917"/>
    <w:rsid w:val="00E839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4689D-9EC0-4A9B-A09A-91A213D8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4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2841</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DEUser</cp:lastModifiedBy>
  <cp:revision>2</cp:revision>
  <dcterms:created xsi:type="dcterms:W3CDTF">2019-01-25T07:58:00Z</dcterms:created>
  <dcterms:modified xsi:type="dcterms:W3CDTF">2019-01-25T07:58:00Z</dcterms:modified>
</cp:coreProperties>
</file>